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F2D4" w14:textId="635BF01F" w:rsidR="00E356F6" w:rsidRDefault="005E236E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60"/>
        <w:jc w:val="center"/>
        <w:rPr>
          <w:rFonts w:ascii="Arial" w:eastAsia="Arial" w:hAnsi="Arial" w:cs="Arial"/>
          <w:sz w:val="32"/>
          <w:szCs w:val="32"/>
          <w:u w:val="single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85E527" wp14:editId="72A411D3">
            <wp:simplePos x="0" y="0"/>
            <wp:positionH relativeFrom="column">
              <wp:posOffset>6184265</wp:posOffset>
            </wp:positionH>
            <wp:positionV relativeFrom="paragraph">
              <wp:posOffset>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0053063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 CONTRAT D’ENGAGEMENT SOLIDAIRE</w:t>
      </w:r>
      <w:r>
        <w:rPr>
          <w:rFonts w:ascii="Arial" w:eastAsia="Arial" w:hAnsi="Arial" w:cs="Arial"/>
          <w:b/>
          <w:sz w:val="32"/>
          <w:szCs w:val="32"/>
        </w:rPr>
        <w:t> : SÈVE DE BOULEAU BIO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70A7BA8A" wp14:editId="7D370575">
            <wp:simplePos x="0" y="0"/>
            <wp:positionH relativeFrom="column">
              <wp:posOffset>6276975</wp:posOffset>
            </wp:positionH>
            <wp:positionV relativeFrom="paragraph">
              <wp:posOffset>-66674</wp:posOffset>
            </wp:positionV>
            <wp:extent cx="580390" cy="580390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D791FF" w14:textId="4536662E" w:rsidR="00E356F6" w:rsidRDefault="007C2957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60"/>
        <w:jc w:val="center"/>
        <w:rPr>
          <w:rFonts w:ascii="Arial" w:eastAsia="Arial" w:hAnsi="Arial" w:cs="Arial"/>
          <w:color w:val="FFFFFF"/>
          <w:sz w:val="20"/>
          <w:szCs w:val="20"/>
          <w:highlight w:val="black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Amap du Creux à Saint-Chamond</w:t>
      </w:r>
    </w:p>
    <w:p w14:paraId="1308BB75" w14:textId="575F2950" w:rsidR="00E356F6" w:rsidRDefault="007C2957">
      <w:pPr>
        <w:spacing w:line="276" w:lineRule="auto"/>
        <w:ind w:left="-57"/>
        <w:jc w:val="center"/>
        <w:rPr>
          <w:rFonts w:ascii="Arial" w:eastAsia="Arial" w:hAnsi="Arial" w:cs="Arial"/>
          <w:color w:val="FFFFFF"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  <w:highlight w:val="black"/>
        </w:rPr>
        <w:t>Mars 202</w:t>
      </w:r>
      <w:r w:rsidR="001A0A98" w:rsidRPr="001A0A98">
        <w:rPr>
          <w:rFonts w:ascii="Arial" w:eastAsia="Arial" w:hAnsi="Arial" w:cs="Arial"/>
          <w:b/>
          <w:color w:val="FFFFFF" w:themeColor="background1"/>
          <w:sz w:val="20"/>
          <w:szCs w:val="20"/>
          <w:shd w:val="clear" w:color="auto" w:fill="000000" w:themeFill="text1"/>
        </w:rPr>
        <w:t>4</w:t>
      </w:r>
    </w:p>
    <w:p w14:paraId="510C267C" w14:textId="77777777" w:rsidR="00E356F6" w:rsidRDefault="00E356F6">
      <w:pPr>
        <w:spacing w:line="276" w:lineRule="auto"/>
        <w:ind w:left="-57"/>
        <w:jc w:val="center"/>
        <w:rPr>
          <w:rFonts w:ascii="Arial" w:eastAsia="Arial" w:hAnsi="Arial" w:cs="Arial"/>
          <w:color w:val="FFFFFF"/>
          <w:sz w:val="20"/>
          <w:szCs w:val="20"/>
        </w:rPr>
      </w:pPr>
    </w:p>
    <w:p w14:paraId="5A2D389D" w14:textId="6356CDFD" w:rsidR="00E356F6" w:rsidRDefault="007C295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-5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Entre 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La sève de Forez, </w:t>
      </w:r>
      <w:r w:rsidR="00466D9D">
        <w:rPr>
          <w:rFonts w:ascii="Arial" w:eastAsia="Arial" w:hAnsi="Arial" w:cs="Arial"/>
          <w:b/>
          <w:color w:val="000000"/>
          <w:sz w:val="20"/>
          <w:szCs w:val="20"/>
        </w:rPr>
        <w:t>Grégory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BRUYAT,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400 route de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Subertha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42940 Saint-Bonnet le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Courreau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</w:t>
      </w:r>
    </w:p>
    <w:p w14:paraId="13E1C983" w14:textId="3A79DDBC" w:rsidR="00E356F6" w:rsidRDefault="007C2957">
      <w:pPr>
        <w:spacing w:after="120" w:line="276" w:lineRule="auto"/>
        <w:ind w:left="-57"/>
        <w:jc w:val="center"/>
        <w:rPr>
          <w:rFonts w:ascii="Arial" w:eastAsia="Arial" w:hAnsi="Arial" w:cs="Arial"/>
          <w:color w:val="000000"/>
          <w:sz w:val="8"/>
          <w:szCs w:val="8"/>
        </w:rPr>
      </w:pPr>
      <w:r>
        <w:rPr>
          <w:rFonts w:ascii="Arial" w:eastAsia="Arial" w:hAnsi="Arial" w:cs="Arial"/>
          <w:sz w:val="20"/>
          <w:szCs w:val="20"/>
        </w:rPr>
        <w:t xml:space="preserve">Tél.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06 49 88 32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09</w:t>
      </w:r>
      <w:r>
        <w:rPr>
          <w:rFonts w:ascii="Arial" w:eastAsia="Arial" w:hAnsi="Arial" w:cs="Arial"/>
          <w:sz w:val="20"/>
          <w:szCs w:val="20"/>
        </w:rPr>
        <w:t xml:space="preserve">  /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sevedeforez@gmail.com</w:t>
      </w:r>
    </w:p>
    <w:p w14:paraId="57FC5E56" w14:textId="7F36178F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Qui s’engage à fournir au souscripteur, en mars ou avril 202</w:t>
      </w:r>
      <w:r w:rsidR="001A0A98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, de la sève de bouleau fraîche, bio et non pasteurisée.  Le conditionnement est en bouteilles de verre d’une contenance d’un litre et la commande porte sur une cure de 3 s</w:t>
      </w:r>
      <w:r>
        <w:rPr>
          <w:rFonts w:ascii="Arial" w:eastAsia="Arial" w:hAnsi="Arial" w:cs="Arial"/>
          <w:color w:val="000000"/>
          <w:sz w:val="20"/>
          <w:szCs w:val="20"/>
        </w:rPr>
        <w:t>emaines, 1 litre étant livré chaque semaine.</w:t>
      </w:r>
    </w:p>
    <w:p w14:paraId="07BBE87B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4ED264FD" w14:textId="6DBCA532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8000"/>
          <w:sz w:val="18"/>
          <w:szCs w:val="18"/>
        </w:rPr>
      </w:pPr>
      <w:r>
        <w:rPr>
          <w:rFonts w:ascii="Arial" w:eastAsia="Arial" w:hAnsi="Arial" w:cs="Arial"/>
          <w:i/>
          <w:color w:val="008000"/>
          <w:sz w:val="18"/>
          <w:szCs w:val="18"/>
        </w:rPr>
        <w:t xml:space="preserve">Les </w:t>
      </w:r>
      <w:r>
        <w:rPr>
          <w:rFonts w:ascii="Arial" w:eastAsia="Arial" w:hAnsi="Arial" w:cs="Arial"/>
          <w:b/>
          <w:i/>
          <w:color w:val="008000"/>
          <w:sz w:val="18"/>
          <w:szCs w:val="18"/>
        </w:rPr>
        <w:t>« plus » environnementaux</w:t>
      </w:r>
      <w:r>
        <w:rPr>
          <w:rFonts w:ascii="Arial" w:eastAsia="Arial" w:hAnsi="Arial" w:cs="Arial"/>
          <w:i/>
          <w:color w:val="008000"/>
          <w:sz w:val="18"/>
          <w:szCs w:val="18"/>
        </w:rPr>
        <w:t> : depuis l’hiver 2022, et pour 2023/2024</w:t>
      </w:r>
      <w:bookmarkStart w:id="0" w:name="_GoBack"/>
      <w:bookmarkEnd w:id="0"/>
      <w:r>
        <w:rPr>
          <w:rFonts w:ascii="Arial" w:eastAsia="Arial" w:hAnsi="Arial" w:cs="Arial"/>
          <w:i/>
          <w:color w:val="008000"/>
          <w:sz w:val="18"/>
          <w:szCs w:val="18"/>
        </w:rPr>
        <w:t xml:space="preserve">, Sève de Forez a mis en place un système de bouteilles en verre consignées. Les bouteilles en verre sont récupérées, nettoyées et réutilisées. D’autre part, </w:t>
      </w:r>
      <w:r>
        <w:rPr>
          <w:rFonts w:ascii="Arial" w:eastAsia="Arial" w:hAnsi="Arial" w:cs="Arial"/>
          <w:i/>
          <w:color w:val="008000"/>
          <w:sz w:val="18"/>
          <w:szCs w:val="18"/>
        </w:rPr>
        <w:t>la collecte en milieu naturel se fait avec un vélo à assistance électrique et une cariole, excluant tout véhicule à énergie thermique.</w:t>
      </w:r>
    </w:p>
    <w:p w14:paraId="7879217D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8000"/>
          <w:sz w:val="18"/>
          <w:szCs w:val="18"/>
        </w:rPr>
      </w:pPr>
      <w:r>
        <w:rPr>
          <w:rFonts w:ascii="Arial" w:eastAsia="Arial" w:hAnsi="Arial" w:cs="Arial"/>
          <w:i/>
          <w:color w:val="008000"/>
          <w:sz w:val="18"/>
          <w:szCs w:val="18"/>
        </w:rPr>
        <w:t>Le système de bouteilles « consignées » à l’Amap est basé sur la confiance : pas de consigne à payer en plus, mais simple</w:t>
      </w:r>
      <w:r>
        <w:rPr>
          <w:rFonts w:ascii="Arial" w:eastAsia="Arial" w:hAnsi="Arial" w:cs="Arial"/>
          <w:i/>
          <w:color w:val="008000"/>
          <w:sz w:val="18"/>
          <w:szCs w:val="18"/>
        </w:rPr>
        <w:t>ment on fait confiance pour que vous rapportiez les bouteilles vides à l’Amap, qui se charge de les restituer à Sève de Forez.</w:t>
      </w:r>
    </w:p>
    <w:p w14:paraId="5A06A19C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B72B869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production respecte les critères de l’agriculture biologique (certificat Ecocert)</w:t>
      </w:r>
    </w:p>
    <w:p w14:paraId="0B196CB7" w14:textId="77777777" w:rsidR="00E356F6" w:rsidRDefault="00E356F6">
      <w:pPr>
        <w:spacing w:after="120" w:line="276" w:lineRule="auto"/>
        <w:ind w:left="-57"/>
        <w:jc w:val="center"/>
        <w:rPr>
          <w:rFonts w:ascii="Arial" w:eastAsia="Arial" w:hAnsi="Arial" w:cs="Arial"/>
          <w:sz w:val="20"/>
          <w:szCs w:val="20"/>
        </w:rPr>
      </w:pPr>
    </w:p>
    <w:p w14:paraId="696C506A" w14:textId="77777777" w:rsidR="00E356F6" w:rsidRDefault="007C2957">
      <w:pPr>
        <w:spacing w:after="120" w:line="276" w:lineRule="auto"/>
        <w:ind w:left="-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Et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Madame et/ou Monsieur </w:t>
      </w:r>
      <w:r>
        <w:rPr>
          <w:rFonts w:ascii="Arial" w:eastAsia="Arial" w:hAnsi="Arial" w:cs="Arial"/>
          <w:sz w:val="16"/>
          <w:szCs w:val="16"/>
          <w:u w:val="single"/>
        </w:rPr>
        <w:t xml:space="preserve">(dit le </w:t>
      </w:r>
      <w:r>
        <w:rPr>
          <w:rFonts w:ascii="Arial" w:eastAsia="Arial" w:hAnsi="Arial" w:cs="Arial"/>
          <w:sz w:val="16"/>
          <w:szCs w:val="16"/>
          <w:u w:val="single"/>
        </w:rPr>
        <w:t>souscripteur)</w:t>
      </w:r>
      <w:r>
        <w:rPr>
          <w:rFonts w:ascii="Arial" w:eastAsia="Arial" w:hAnsi="Arial" w:cs="Arial"/>
          <w:sz w:val="20"/>
          <w:szCs w:val="20"/>
        </w:rPr>
        <w:t> : (Nom, Prénom) : …………………………………………………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.…….. </w:t>
      </w:r>
    </w:p>
    <w:p w14:paraId="7B55EB97" w14:textId="77777777" w:rsidR="00E356F6" w:rsidRDefault="007C2957">
      <w:pPr>
        <w:spacing w:after="120" w:line="276" w:lineRule="auto"/>
        <w:ind w:left="-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Téléphone mobile :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.……………….. Courriel :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.…………………@..........................………</w:t>
      </w:r>
    </w:p>
    <w:p w14:paraId="2A3BEE14" w14:textId="77777777" w:rsidR="00E356F6" w:rsidRDefault="00E356F6">
      <w:pPr>
        <w:spacing w:after="120" w:line="276" w:lineRule="auto"/>
        <w:ind w:left="-57"/>
        <w:rPr>
          <w:rFonts w:ascii="Arial" w:eastAsia="Arial" w:hAnsi="Arial" w:cs="Arial"/>
          <w:sz w:val="20"/>
          <w:szCs w:val="20"/>
        </w:rPr>
      </w:pPr>
    </w:p>
    <w:p w14:paraId="5829303C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b/>
          <w:color w:val="FFFFFF"/>
          <w:highlight w:val="black"/>
        </w:rPr>
        <w:t>Le souscripteur passe la commande suivante </w:t>
      </w:r>
      <w:r>
        <w:rPr>
          <w:rFonts w:ascii="Arial" w:eastAsia="Arial" w:hAnsi="Arial" w:cs="Arial"/>
          <w:color w:val="FFFFFF"/>
          <w:highlight w:val="black"/>
        </w:rPr>
        <w:t>:</w:t>
      </w:r>
    </w:p>
    <w:p w14:paraId="3F2C45C3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FFFF"/>
          <w:sz w:val="16"/>
          <w:szCs w:val="16"/>
        </w:rPr>
      </w:pPr>
    </w:p>
    <w:p w14:paraId="207D2D1F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7D38CB96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Indiquer le nombre de cures de 3 X 1 litre</w:t>
      </w:r>
    </w:p>
    <w:p w14:paraId="06E724B8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C78579F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5FC6521D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"/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2268"/>
        <w:gridCol w:w="3969"/>
      </w:tblGrid>
      <w:tr w:rsidR="00E356F6" w14:paraId="390F02B1" w14:textId="77777777">
        <w:trPr>
          <w:trHeight w:val="30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6491D57" w14:textId="77777777" w:rsidR="00E356F6" w:rsidRDefault="007C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Nombre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cure de 3 X 1 litre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4DF787A5" w14:textId="77777777" w:rsidR="00E356F6" w:rsidRDefault="007C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Prix des 3 litres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C1B9424" w14:textId="77777777" w:rsidR="00E356F6" w:rsidRDefault="007C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à régler</w:t>
            </w:r>
          </w:p>
        </w:tc>
      </w:tr>
      <w:tr w:rsidR="00E356F6" w14:paraId="06BFB773" w14:textId="77777777">
        <w:trPr>
          <w:trHeight w:val="39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7236F" w14:textId="77777777" w:rsidR="00E356F6" w:rsidRDefault="007C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718B7" w14:textId="77777777" w:rsidR="00E356F6" w:rsidRDefault="007C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35,00 €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F196" w14:textId="77777777" w:rsidR="00E356F6" w:rsidRDefault="007C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  €</w:t>
            </w:r>
          </w:p>
        </w:tc>
      </w:tr>
    </w:tbl>
    <w:p w14:paraId="03ED73D9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78200BB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162E8EA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livraison sera effectuée à la permanence de l’Amap du Creux à Saint-Chamond à une date qui sera confirmée aux souscripteurs (la collecte de la sève en milieu naturel </w:t>
      </w:r>
      <w:r>
        <w:rPr>
          <w:rFonts w:ascii="Arial" w:eastAsia="Arial" w:hAnsi="Arial" w:cs="Arial"/>
          <w:color w:val="000000"/>
          <w:sz w:val="22"/>
          <w:szCs w:val="22"/>
        </w:rPr>
        <w:t>étant liée notamment à la température).</w:t>
      </w:r>
    </w:p>
    <w:p w14:paraId="2A8E30D3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BF3E3FF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7E8334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Montant total : …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……….. € à régler à la commande. </w:t>
      </w:r>
    </w:p>
    <w:p w14:paraId="7E7C4C5C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18A69E6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Chèque à l’ordre de : la Sève de Forez</w:t>
      </w:r>
    </w:p>
    <w:p w14:paraId="360D556D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8930B45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Indiquer le n° du ou des chèque(s) et la banque : ……………………………………………………………………………</w:t>
      </w:r>
    </w:p>
    <w:p w14:paraId="7C241EBE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10BC6692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6B7B925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0"/>
          <w:szCs w:val="10"/>
        </w:rPr>
      </w:pPr>
    </w:p>
    <w:p w14:paraId="71468C91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  <w:u w:val="single"/>
        </w:rPr>
      </w:pP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La présente commande et sa livraison </w:t>
      </w:r>
      <w:r>
        <w:rPr>
          <w:rFonts w:ascii="Arial" w:eastAsia="Arial" w:hAnsi="Arial" w:cs="Arial"/>
          <w:i/>
          <w:color w:val="000000"/>
          <w:sz w:val="19"/>
          <w:szCs w:val="19"/>
        </w:rPr>
        <w:t>valent acceptation, par le souscripteur et le paysan, des conditions de la page 2</w:t>
      </w:r>
    </w:p>
    <w:p w14:paraId="3A8B857F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  <w:u w:val="single"/>
        </w:rPr>
      </w:pPr>
    </w:p>
    <w:p w14:paraId="158D257E" w14:textId="0C502F6F" w:rsidR="00E356F6" w:rsidRDefault="007C29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color w:val="000000"/>
          <w:sz w:val="20"/>
          <w:szCs w:val="20"/>
        </w:rPr>
        <w:t>Fait à Saint-Chamond, le 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 202</w:t>
      </w:r>
      <w:r w:rsidR="001A0A98">
        <w:rPr>
          <w:rFonts w:ascii="Arial" w:eastAsia="Arial" w:hAnsi="Arial" w:cs="Arial"/>
          <w:color w:val="000000"/>
          <w:sz w:val="20"/>
          <w:szCs w:val="20"/>
        </w:rPr>
        <w:t>3</w:t>
      </w:r>
    </w:p>
    <w:p w14:paraId="62E409C5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157B0D8" w14:textId="77777777" w:rsidR="00E356F6" w:rsidRDefault="007C2957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Signatures 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 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Le souscripteur                                          Le paysan</w:t>
      </w:r>
    </w:p>
    <w:p w14:paraId="7C2825FB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B461462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88B35E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955E6BB" w14:textId="77777777" w:rsidR="00E356F6" w:rsidRDefault="00E35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8155A5" w14:textId="77777777" w:rsidR="00E356F6" w:rsidRDefault="007C2957">
      <w:pPr>
        <w:keepNext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6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Votre référent pour </w:t>
      </w:r>
      <w:r>
        <w:rPr>
          <w:rFonts w:ascii="Arial" w:eastAsia="Arial" w:hAnsi="Arial" w:cs="Arial"/>
          <w:color w:val="000000"/>
          <w:sz w:val="20"/>
          <w:szCs w:val="20"/>
        </w:rPr>
        <w:t>cette saison : Jean-Pierre MOUSSET / jpmous@berarmous.fr / 06 35 97 12 15</w:t>
      </w:r>
    </w:p>
    <w:p w14:paraId="7FBF803E" w14:textId="77777777" w:rsidR="00E356F6" w:rsidRDefault="007C29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Page 1 sur 2</w:t>
      </w:r>
    </w:p>
    <w:sectPr w:rsidR="00E356F6">
      <w:pgSz w:w="11906" w:h="16838"/>
      <w:pgMar w:top="851" w:right="567" w:bottom="5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2531"/>
    <w:multiLevelType w:val="multilevel"/>
    <w:tmpl w:val="EFEA947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F6"/>
    <w:rsid w:val="001A0A98"/>
    <w:rsid w:val="00466D9D"/>
    <w:rsid w:val="005E236E"/>
    <w:rsid w:val="007C2957"/>
    <w:rsid w:val="00E3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1F46"/>
  <w15:docId w15:val="{9A7B26C1-1FE7-449F-8EF8-417C92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5</cp:revision>
  <dcterms:created xsi:type="dcterms:W3CDTF">2023-08-22T06:42:00Z</dcterms:created>
  <dcterms:modified xsi:type="dcterms:W3CDTF">2023-08-31T17:52:00Z</dcterms:modified>
</cp:coreProperties>
</file>